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373E" w14:textId="77777777" w:rsidR="00B05468" w:rsidRPr="001B3F14" w:rsidRDefault="00B05468"/>
    <w:p w14:paraId="5023104D" w14:textId="599A7B97" w:rsidR="00AD4097" w:rsidRPr="001B3F14" w:rsidRDefault="006B3369" w:rsidP="006F73E0">
      <w:pPr>
        <w:jc w:val="center"/>
        <w:outlineLvl w:val="0"/>
        <w:rPr>
          <w:rFonts w:cs="Times New Roman"/>
          <w:b/>
          <w:bCs/>
          <w:color w:val="000000"/>
          <w:lang w:eastAsia="en-GB"/>
        </w:rPr>
      </w:pPr>
      <w:r w:rsidRPr="001B3F14">
        <w:rPr>
          <w:rFonts w:cs="Times New Roman"/>
          <w:b/>
          <w:bCs/>
          <w:color w:val="000000"/>
          <w:lang w:eastAsia="en-GB"/>
        </w:rPr>
        <w:t>Countdown to DMA implementation</w:t>
      </w:r>
    </w:p>
    <w:p w14:paraId="3DE4730F" w14:textId="77777777" w:rsidR="00B2182A" w:rsidRPr="001B3F14" w:rsidRDefault="00B2182A" w:rsidP="00B2182A">
      <w:pPr>
        <w:jc w:val="center"/>
        <w:rPr>
          <w:rFonts w:cs="Times New Roman"/>
          <w:b/>
          <w:bCs/>
          <w:color w:val="000000"/>
          <w:lang w:eastAsia="en-GB"/>
        </w:rPr>
      </w:pPr>
    </w:p>
    <w:p w14:paraId="4C763B74" w14:textId="77777777" w:rsidR="00AD4097" w:rsidRPr="001B3F14" w:rsidRDefault="00AD4097" w:rsidP="00AD4097">
      <w:pPr>
        <w:rPr>
          <w:rFonts w:cs="Times New Roman"/>
          <w:b/>
          <w:bCs/>
          <w:color w:val="000000"/>
          <w:lang w:eastAsia="en-GB"/>
        </w:rPr>
      </w:pPr>
    </w:p>
    <w:p w14:paraId="6ED3C20E" w14:textId="77777777" w:rsidR="00AD4097" w:rsidRPr="001B3F14" w:rsidRDefault="00AD4097" w:rsidP="006F73E0">
      <w:pPr>
        <w:outlineLvl w:val="0"/>
        <w:rPr>
          <w:rFonts w:cs="Times New Roman"/>
          <w:b/>
          <w:bCs/>
          <w:color w:val="000000"/>
          <w:lang w:eastAsia="en-GB"/>
        </w:rPr>
      </w:pPr>
      <w:r w:rsidRPr="001B3F14">
        <w:rPr>
          <w:rFonts w:cs="Times New Roman"/>
          <w:b/>
          <w:bCs/>
          <w:color w:val="000000"/>
          <w:lang w:eastAsia="en-GB"/>
        </w:rPr>
        <w:t>Lasting legacy or missed opportunity?</w:t>
      </w:r>
    </w:p>
    <w:p w14:paraId="1CC203DA" w14:textId="5EA7B405" w:rsidR="00531022" w:rsidRPr="001B3F14" w:rsidRDefault="00AD4097" w:rsidP="00EE7DFF">
      <w:pPr>
        <w:pStyle w:val="NormalWeb"/>
        <w:spacing w:before="0" w:beforeAutospacing="0"/>
        <w:jc w:val="both"/>
        <w:rPr>
          <w:rFonts w:asciiTheme="minorHAnsi" w:hAnsiTheme="minorHAnsi" w:cs="Arial"/>
          <w:color w:val="000000" w:themeColor="text1"/>
        </w:rPr>
      </w:pPr>
      <w:r w:rsidRPr="001B3F14">
        <w:rPr>
          <w:rFonts w:asciiTheme="minorHAnsi" w:hAnsiTheme="minorHAnsi" w:cs="Arial"/>
          <w:color w:val="000000" w:themeColor="text1"/>
        </w:rPr>
        <w:t xml:space="preserve">With the </w:t>
      </w:r>
      <w:r w:rsidR="00525C00" w:rsidRPr="001B3F14">
        <w:rPr>
          <w:rFonts w:asciiTheme="minorHAnsi" w:hAnsiTheme="minorHAnsi" w:cs="Arial"/>
          <w:color w:val="000000" w:themeColor="text1"/>
        </w:rPr>
        <w:t xml:space="preserve">EU </w:t>
      </w:r>
      <w:r w:rsidRPr="001B3F14">
        <w:rPr>
          <w:rFonts w:asciiTheme="minorHAnsi" w:hAnsiTheme="minorHAnsi" w:cs="Arial"/>
          <w:color w:val="000000" w:themeColor="text1"/>
        </w:rPr>
        <w:t>Digital Markets Act</w:t>
      </w:r>
      <w:r w:rsidR="004040CA">
        <w:rPr>
          <w:rFonts w:asciiTheme="minorHAnsi" w:hAnsiTheme="minorHAnsi" w:cs="Arial"/>
          <w:color w:val="000000" w:themeColor="text1"/>
        </w:rPr>
        <w:t xml:space="preserve"> (DMA)</w:t>
      </w:r>
      <w:r w:rsidRPr="001B3F14">
        <w:rPr>
          <w:rFonts w:asciiTheme="minorHAnsi" w:hAnsiTheme="minorHAnsi" w:cs="Arial"/>
          <w:color w:val="000000" w:themeColor="text1"/>
        </w:rPr>
        <w:t xml:space="preserve"> adopted and 2023 well underway, the clock is ticking towards implementation</w:t>
      </w:r>
      <w:r w:rsidR="00C80B1D" w:rsidRPr="001B3F14">
        <w:rPr>
          <w:rFonts w:asciiTheme="minorHAnsi" w:hAnsiTheme="minorHAnsi" w:cs="Arial"/>
          <w:color w:val="000000" w:themeColor="text1"/>
        </w:rPr>
        <w:t xml:space="preserve"> of what has the potential to </w:t>
      </w:r>
      <w:r w:rsidRPr="001B3F14">
        <w:rPr>
          <w:rFonts w:asciiTheme="minorHAnsi" w:hAnsiTheme="minorHAnsi" w:cs="Arial"/>
          <w:color w:val="000000" w:themeColor="text1"/>
        </w:rPr>
        <w:t>be a ground-breaking piece of legislation</w:t>
      </w:r>
      <w:r w:rsidR="001109DA">
        <w:rPr>
          <w:rFonts w:asciiTheme="minorHAnsi" w:hAnsiTheme="minorHAnsi" w:cs="Arial"/>
          <w:color w:val="000000" w:themeColor="text1"/>
        </w:rPr>
        <w:t xml:space="preserve"> - </w:t>
      </w:r>
      <w:r w:rsidRPr="001B3F14">
        <w:rPr>
          <w:rFonts w:asciiTheme="minorHAnsi" w:hAnsiTheme="minorHAnsi" w:cs="Arial"/>
          <w:color w:val="000000" w:themeColor="text1"/>
        </w:rPr>
        <w:t>and the start of a new chapter in</w:t>
      </w:r>
      <w:r w:rsidR="00F338B9">
        <w:rPr>
          <w:rFonts w:asciiTheme="minorHAnsi" w:hAnsiTheme="minorHAnsi" w:cs="Arial"/>
          <w:color w:val="000000" w:themeColor="text1"/>
        </w:rPr>
        <w:t xml:space="preserve"> genuine competition </w:t>
      </w:r>
      <w:r w:rsidR="00E0602A">
        <w:rPr>
          <w:rFonts w:asciiTheme="minorHAnsi" w:hAnsiTheme="minorHAnsi" w:cs="Arial"/>
          <w:color w:val="000000" w:themeColor="text1"/>
        </w:rPr>
        <w:t>and</w:t>
      </w:r>
      <w:r w:rsidR="00F338B9">
        <w:rPr>
          <w:rFonts w:asciiTheme="minorHAnsi" w:hAnsiTheme="minorHAnsi" w:cs="Arial"/>
          <w:color w:val="000000" w:themeColor="text1"/>
        </w:rPr>
        <w:t xml:space="preserve"> digital</w:t>
      </w:r>
      <w:r w:rsidR="00787E58">
        <w:rPr>
          <w:rFonts w:asciiTheme="minorHAnsi" w:hAnsiTheme="minorHAnsi" w:cs="Arial"/>
          <w:color w:val="000000" w:themeColor="text1"/>
        </w:rPr>
        <w:t xml:space="preserve"> </w:t>
      </w:r>
      <w:r w:rsidR="00787E58" w:rsidRPr="00EE7DFF">
        <w:rPr>
          <w:rFonts w:asciiTheme="minorHAnsi" w:hAnsiTheme="minorHAnsi" w:cstheme="minorHAnsi"/>
        </w:rPr>
        <w:t xml:space="preserve">fairness </w:t>
      </w:r>
      <w:r w:rsidR="00787E58">
        <w:rPr>
          <w:rFonts w:asciiTheme="minorHAnsi" w:hAnsiTheme="minorHAnsi" w:cs="Arial"/>
          <w:color w:val="000000" w:themeColor="text1"/>
        </w:rPr>
        <w:t>for</w:t>
      </w:r>
      <w:r w:rsidR="00F338B9">
        <w:rPr>
          <w:rFonts w:asciiTheme="minorHAnsi" w:hAnsiTheme="minorHAnsi" w:cs="Arial"/>
          <w:color w:val="000000" w:themeColor="text1"/>
        </w:rPr>
        <w:t xml:space="preserve"> </w:t>
      </w:r>
      <w:r w:rsidR="00F62A20">
        <w:rPr>
          <w:rFonts w:asciiTheme="minorHAnsi" w:hAnsiTheme="minorHAnsi" w:cs="Arial"/>
          <w:color w:val="000000" w:themeColor="text1"/>
        </w:rPr>
        <w:t xml:space="preserve">small </w:t>
      </w:r>
      <w:r w:rsidR="00531022" w:rsidRPr="001B3F14">
        <w:rPr>
          <w:rFonts w:asciiTheme="minorHAnsi" w:hAnsiTheme="minorHAnsi" w:cs="Arial"/>
          <w:color w:val="000000" w:themeColor="text1"/>
        </w:rPr>
        <w:t>European businesses and consumers alike</w:t>
      </w:r>
      <w:r w:rsidR="00B83A02" w:rsidRPr="001B3F14">
        <w:rPr>
          <w:rFonts w:asciiTheme="minorHAnsi" w:hAnsiTheme="minorHAnsi" w:cs="Arial"/>
          <w:color w:val="000000" w:themeColor="text1"/>
        </w:rPr>
        <w:t xml:space="preserve">. </w:t>
      </w:r>
    </w:p>
    <w:p w14:paraId="56EB0178" w14:textId="401248E7" w:rsidR="00876816" w:rsidRPr="001B3F14" w:rsidRDefault="00C80B1D" w:rsidP="00EE7DFF">
      <w:pPr>
        <w:jc w:val="both"/>
        <w:rPr>
          <w:rFonts w:cs="Arial"/>
          <w:color w:val="000000" w:themeColor="text1"/>
        </w:rPr>
      </w:pPr>
      <w:r w:rsidRPr="001B3F14">
        <w:rPr>
          <w:rFonts w:cs="Arial"/>
          <w:color w:val="000000" w:themeColor="text1"/>
        </w:rPr>
        <w:t>It’s far from a done</w:t>
      </w:r>
      <w:r w:rsidR="00076DED">
        <w:rPr>
          <w:rFonts w:cs="Arial"/>
          <w:color w:val="000000" w:themeColor="text1"/>
        </w:rPr>
        <w:t xml:space="preserve"> </w:t>
      </w:r>
      <w:r w:rsidRPr="001B3F14">
        <w:rPr>
          <w:rFonts w:cs="Arial"/>
          <w:color w:val="000000" w:themeColor="text1"/>
        </w:rPr>
        <w:t>deal though</w:t>
      </w:r>
      <w:r w:rsidR="00B83A02" w:rsidRPr="001B3F14">
        <w:rPr>
          <w:rFonts w:cs="Arial"/>
          <w:color w:val="000000" w:themeColor="text1"/>
        </w:rPr>
        <w:t xml:space="preserve">. </w:t>
      </w:r>
      <w:r w:rsidR="00AD4097" w:rsidRPr="001B3F14">
        <w:rPr>
          <w:rFonts w:cs="Arial"/>
          <w:color w:val="000000" w:themeColor="text1"/>
        </w:rPr>
        <w:t xml:space="preserve">Whilst </w:t>
      </w:r>
      <w:r w:rsidR="00AE6344" w:rsidRPr="001B3F14">
        <w:rPr>
          <w:rFonts w:cs="Arial"/>
          <w:color w:val="000000" w:themeColor="text1"/>
        </w:rPr>
        <w:t xml:space="preserve">we are hearing that </w:t>
      </w:r>
      <w:r w:rsidR="00AD4097" w:rsidRPr="001B3F14">
        <w:rPr>
          <w:rFonts w:cs="Arial"/>
          <w:color w:val="000000" w:themeColor="text1"/>
        </w:rPr>
        <w:t>the political will appears to be sound, the devil, as always, will be in the detail</w:t>
      </w:r>
      <w:r w:rsidR="00B83A02" w:rsidRPr="001B3F14">
        <w:rPr>
          <w:rFonts w:cs="Arial"/>
          <w:color w:val="000000" w:themeColor="text1"/>
        </w:rPr>
        <w:t xml:space="preserve">. </w:t>
      </w:r>
      <w:r w:rsidRPr="001B3F14">
        <w:rPr>
          <w:rFonts w:cs="Arial"/>
          <w:color w:val="000000" w:themeColor="text1"/>
        </w:rPr>
        <w:t xml:space="preserve">The new, fresh </w:t>
      </w:r>
      <w:r w:rsidR="00531022" w:rsidRPr="001B3F14">
        <w:rPr>
          <w:rFonts w:cs="Arial"/>
          <w:color w:val="000000" w:themeColor="text1"/>
        </w:rPr>
        <w:t xml:space="preserve">European Commission </w:t>
      </w:r>
      <w:r w:rsidRPr="001B3F14">
        <w:rPr>
          <w:rFonts w:cs="Arial"/>
          <w:color w:val="000000" w:themeColor="text1"/>
        </w:rPr>
        <w:t>team</w:t>
      </w:r>
      <w:r w:rsidR="00EB5CEC" w:rsidRPr="001B3F14">
        <w:rPr>
          <w:rFonts w:cs="Arial"/>
          <w:color w:val="000000" w:themeColor="text1"/>
        </w:rPr>
        <w:t>,</w:t>
      </w:r>
      <w:r w:rsidRPr="001B3F14">
        <w:rPr>
          <w:rFonts w:cs="Arial"/>
          <w:color w:val="000000" w:themeColor="text1"/>
        </w:rPr>
        <w:t xml:space="preserve"> recently recruited to manage</w:t>
      </w:r>
      <w:r w:rsidR="00531022" w:rsidRPr="001B3F14">
        <w:rPr>
          <w:rFonts w:cs="Arial"/>
          <w:color w:val="000000" w:themeColor="text1"/>
        </w:rPr>
        <w:t xml:space="preserve"> implementation</w:t>
      </w:r>
      <w:r w:rsidR="00EB5CEC" w:rsidRPr="001B3F14">
        <w:rPr>
          <w:rFonts w:cs="Arial"/>
          <w:color w:val="000000" w:themeColor="text1"/>
        </w:rPr>
        <w:t>,</w:t>
      </w:r>
      <w:r w:rsidR="00531022" w:rsidRPr="001B3F14">
        <w:rPr>
          <w:rFonts w:cs="Arial"/>
          <w:color w:val="000000" w:themeColor="text1"/>
        </w:rPr>
        <w:t xml:space="preserve"> had better be made of strong stuff</w:t>
      </w:r>
      <w:r w:rsidR="00B83A02" w:rsidRPr="001B3F14">
        <w:rPr>
          <w:rFonts w:cs="Arial"/>
          <w:color w:val="000000" w:themeColor="text1"/>
        </w:rPr>
        <w:t xml:space="preserve">. </w:t>
      </w:r>
      <w:r w:rsidR="00C75F86">
        <w:rPr>
          <w:rFonts w:cs="Arial"/>
          <w:color w:val="000000" w:themeColor="text1"/>
        </w:rPr>
        <w:t>It is</w:t>
      </w:r>
      <w:r w:rsidR="00EE7DFF">
        <w:rPr>
          <w:rFonts w:cs="Arial"/>
          <w:color w:val="000000" w:themeColor="text1"/>
        </w:rPr>
        <w:t xml:space="preserve"> </w:t>
      </w:r>
      <w:r w:rsidR="00531022" w:rsidRPr="001B3F14">
        <w:rPr>
          <w:rFonts w:cs="Arial"/>
          <w:color w:val="000000" w:themeColor="text1"/>
        </w:rPr>
        <w:t xml:space="preserve">going to need </w:t>
      </w:r>
      <w:r w:rsidR="00C75F86">
        <w:rPr>
          <w:rFonts w:cs="Arial"/>
          <w:color w:val="000000" w:themeColor="text1"/>
        </w:rPr>
        <w:t xml:space="preserve">an </w:t>
      </w:r>
      <w:r w:rsidR="007F2FF4" w:rsidRPr="001B3F14">
        <w:rPr>
          <w:rFonts w:cs="Arial"/>
          <w:color w:val="000000" w:themeColor="text1"/>
        </w:rPr>
        <w:t>iron-clad</w:t>
      </w:r>
      <w:r w:rsidR="00531022" w:rsidRPr="001B3F14">
        <w:rPr>
          <w:rFonts w:cs="Arial"/>
          <w:color w:val="000000" w:themeColor="text1"/>
        </w:rPr>
        <w:t xml:space="preserve"> backbone to withhold the </w:t>
      </w:r>
      <w:r w:rsidR="00FB4A49" w:rsidRPr="001B3F14">
        <w:rPr>
          <w:rFonts w:cs="Arial"/>
          <w:color w:val="000000" w:themeColor="text1"/>
        </w:rPr>
        <w:t>onslaught of the Google lobbying machine</w:t>
      </w:r>
      <w:r w:rsidR="00AE6344" w:rsidRPr="001B3F14">
        <w:rPr>
          <w:rFonts w:cs="Arial"/>
          <w:color w:val="000000" w:themeColor="text1"/>
        </w:rPr>
        <w:t xml:space="preserve"> and technical wizardry</w:t>
      </w:r>
      <w:r w:rsidR="00FB4A49" w:rsidRPr="001B3F14">
        <w:rPr>
          <w:rFonts w:cs="Arial"/>
          <w:color w:val="000000" w:themeColor="text1"/>
        </w:rPr>
        <w:t xml:space="preserve"> that has so far </w:t>
      </w:r>
      <w:r w:rsidR="00AE6344" w:rsidRPr="001B3F14">
        <w:rPr>
          <w:rFonts w:cs="Arial"/>
          <w:color w:val="000000" w:themeColor="text1"/>
        </w:rPr>
        <w:t xml:space="preserve">enabled </w:t>
      </w:r>
      <w:r w:rsidR="00CF370D" w:rsidRPr="001B3F14">
        <w:rPr>
          <w:rFonts w:cs="Arial"/>
          <w:color w:val="000000" w:themeColor="text1"/>
        </w:rPr>
        <w:t xml:space="preserve">one of </w:t>
      </w:r>
      <w:r w:rsidR="00AE6344" w:rsidRPr="001B3F14">
        <w:rPr>
          <w:rFonts w:cs="Arial"/>
          <w:color w:val="000000" w:themeColor="text1"/>
        </w:rPr>
        <w:t>the world’</w:t>
      </w:r>
      <w:r w:rsidR="00CF370D" w:rsidRPr="001B3F14">
        <w:rPr>
          <w:rFonts w:cs="Arial"/>
          <w:color w:val="000000" w:themeColor="text1"/>
        </w:rPr>
        <w:t xml:space="preserve">s largest monopolies </w:t>
      </w:r>
      <w:r w:rsidR="00AE6344" w:rsidRPr="001B3F14">
        <w:rPr>
          <w:rFonts w:cs="Arial"/>
          <w:color w:val="000000" w:themeColor="text1"/>
        </w:rPr>
        <w:t>to wriggle</w:t>
      </w:r>
      <w:r w:rsidR="00FB4A49" w:rsidRPr="001B3F14">
        <w:rPr>
          <w:rFonts w:cs="Arial"/>
          <w:color w:val="000000" w:themeColor="text1"/>
        </w:rPr>
        <w:t xml:space="preserve"> miraculously out of </w:t>
      </w:r>
      <w:r w:rsidR="007F2FF4" w:rsidRPr="001B3F14">
        <w:rPr>
          <w:rFonts w:cs="Arial"/>
          <w:color w:val="000000" w:themeColor="text1"/>
        </w:rPr>
        <w:t xml:space="preserve">any meaningful changes to </w:t>
      </w:r>
      <w:r w:rsidR="00C75F86">
        <w:rPr>
          <w:rFonts w:cs="Arial"/>
          <w:color w:val="000000" w:themeColor="text1"/>
        </w:rPr>
        <w:t>its</w:t>
      </w:r>
      <w:r w:rsidR="007F2FF4" w:rsidRPr="001B3F14">
        <w:rPr>
          <w:rFonts w:cs="Arial"/>
          <w:color w:val="000000" w:themeColor="text1"/>
        </w:rPr>
        <w:t xml:space="preserve"> abusive behaviour</w:t>
      </w:r>
      <w:r w:rsidR="00B83A02">
        <w:rPr>
          <w:rFonts w:cs="Arial"/>
          <w:color w:val="000000" w:themeColor="text1"/>
        </w:rPr>
        <w:t xml:space="preserve">. </w:t>
      </w:r>
      <w:r w:rsidR="00E55BB9">
        <w:rPr>
          <w:rFonts w:cs="Arial"/>
          <w:color w:val="000000" w:themeColor="text1"/>
        </w:rPr>
        <w:t>Google continues</w:t>
      </w:r>
      <w:r w:rsidR="001A1808">
        <w:rPr>
          <w:rFonts w:cs="Arial"/>
          <w:color w:val="000000" w:themeColor="text1"/>
        </w:rPr>
        <w:t xml:space="preserve"> to</w:t>
      </w:r>
      <w:r w:rsidR="00E55BB9">
        <w:rPr>
          <w:rFonts w:cs="Arial"/>
          <w:color w:val="000000" w:themeColor="text1"/>
        </w:rPr>
        <w:t xml:space="preserve"> </w:t>
      </w:r>
      <w:r w:rsidR="00D172C5">
        <w:rPr>
          <w:rFonts w:cs="Arial"/>
          <w:color w:val="000000" w:themeColor="text1"/>
        </w:rPr>
        <w:t xml:space="preserve">flagrantly </w:t>
      </w:r>
      <w:r w:rsidR="001A1808">
        <w:rPr>
          <w:rFonts w:cs="Arial"/>
          <w:color w:val="000000" w:themeColor="text1"/>
        </w:rPr>
        <w:t>abuse its position</w:t>
      </w:r>
      <w:r w:rsidR="00D172C5">
        <w:rPr>
          <w:rFonts w:cs="Arial"/>
          <w:color w:val="000000" w:themeColor="text1"/>
        </w:rPr>
        <w:t>,</w:t>
      </w:r>
      <w:r w:rsidR="00E55BB9">
        <w:rPr>
          <w:rFonts w:cs="Arial"/>
          <w:color w:val="000000" w:themeColor="text1"/>
        </w:rPr>
        <w:t xml:space="preserve"> d</w:t>
      </w:r>
      <w:r w:rsidR="007F2FF4" w:rsidRPr="001B3F14">
        <w:rPr>
          <w:rFonts w:cs="Arial"/>
          <w:color w:val="000000" w:themeColor="text1"/>
        </w:rPr>
        <w:t>espite losing three antitrust cases</w:t>
      </w:r>
      <w:r w:rsidR="006F73E0">
        <w:rPr>
          <w:rFonts w:cs="Arial"/>
          <w:color w:val="000000" w:themeColor="text1"/>
        </w:rPr>
        <w:t xml:space="preserve"> and </w:t>
      </w:r>
      <w:r w:rsidR="00440C08" w:rsidRPr="001B3F14">
        <w:rPr>
          <w:rFonts w:cs="Arial"/>
          <w:color w:val="000000" w:themeColor="text1"/>
        </w:rPr>
        <w:t>fines totalling 8.25 billion euros</w:t>
      </w:r>
      <w:r w:rsidR="006F73E0">
        <w:rPr>
          <w:rFonts w:cs="Arial"/>
          <w:color w:val="000000" w:themeColor="text1"/>
        </w:rPr>
        <w:t>.</w:t>
      </w:r>
      <w:r w:rsidR="00440C08" w:rsidRPr="001B3F14">
        <w:rPr>
          <w:rFonts w:cs="Arial"/>
          <w:color w:val="000000" w:themeColor="text1"/>
        </w:rPr>
        <w:t xml:space="preserve"> </w:t>
      </w:r>
      <w:r w:rsidR="006F73E0">
        <w:rPr>
          <w:rFonts w:cs="Arial"/>
          <w:color w:val="000000" w:themeColor="text1"/>
        </w:rPr>
        <w:t>The damaging behaviour continues,</w:t>
      </w:r>
      <w:r w:rsidR="00120EDE" w:rsidRPr="001B3F14">
        <w:rPr>
          <w:rFonts w:cs="Arial"/>
          <w:color w:val="000000" w:themeColor="text1"/>
        </w:rPr>
        <w:t xml:space="preserve"> </w:t>
      </w:r>
      <w:r w:rsidR="00A52348">
        <w:rPr>
          <w:rFonts w:cs="Arial"/>
          <w:color w:val="000000" w:themeColor="text1"/>
        </w:rPr>
        <w:t xml:space="preserve">despite </w:t>
      </w:r>
      <w:r w:rsidR="00120EDE" w:rsidRPr="001B3F14">
        <w:rPr>
          <w:rFonts w:cs="Arial"/>
          <w:color w:val="000000" w:themeColor="text1"/>
        </w:rPr>
        <w:t xml:space="preserve">demands for an end to </w:t>
      </w:r>
      <w:r w:rsidR="0070229A" w:rsidRPr="001B3F14">
        <w:rPr>
          <w:rFonts w:cs="Arial"/>
          <w:color w:val="000000" w:themeColor="text1"/>
        </w:rPr>
        <w:t xml:space="preserve">the market abuse that has </w:t>
      </w:r>
      <w:r w:rsidR="00680753">
        <w:rPr>
          <w:rFonts w:cs="Arial"/>
          <w:color w:val="000000" w:themeColor="text1"/>
        </w:rPr>
        <w:t xml:space="preserve">stunted the growth of </w:t>
      </w:r>
      <w:r w:rsidR="0070229A" w:rsidRPr="001B3F14">
        <w:rPr>
          <w:rFonts w:cs="Arial"/>
          <w:color w:val="000000" w:themeColor="text1"/>
        </w:rPr>
        <w:t>European business</w:t>
      </w:r>
      <w:r w:rsidR="00680753">
        <w:rPr>
          <w:rFonts w:cs="Arial"/>
          <w:color w:val="000000" w:themeColor="text1"/>
        </w:rPr>
        <w:t>es</w:t>
      </w:r>
      <w:r w:rsidR="0070229A" w:rsidRPr="001B3F14">
        <w:rPr>
          <w:rFonts w:cs="Arial"/>
          <w:color w:val="000000" w:themeColor="text1"/>
        </w:rPr>
        <w:t xml:space="preserve"> and let consumers down for </w:t>
      </w:r>
      <w:r w:rsidR="00AE6344" w:rsidRPr="001B3F14">
        <w:rPr>
          <w:rFonts w:cs="Arial"/>
          <w:color w:val="000000" w:themeColor="text1"/>
        </w:rPr>
        <w:t>m</w:t>
      </w:r>
      <w:r w:rsidR="0070229A" w:rsidRPr="001B3F14">
        <w:rPr>
          <w:rFonts w:cs="Arial"/>
          <w:color w:val="000000" w:themeColor="text1"/>
        </w:rPr>
        <w:t>ore than a decade</w:t>
      </w:r>
      <w:r w:rsidR="00B83A02" w:rsidRPr="001B3F14">
        <w:rPr>
          <w:rFonts w:cs="Arial"/>
          <w:color w:val="000000" w:themeColor="text1"/>
        </w:rPr>
        <w:t xml:space="preserve">. </w:t>
      </w:r>
    </w:p>
    <w:p w14:paraId="3B530115" w14:textId="2AFBEF1A" w:rsidR="00876816" w:rsidRPr="001B3F14" w:rsidRDefault="00876816" w:rsidP="00EE7DFF">
      <w:pPr>
        <w:pStyle w:val="NormalWeb"/>
        <w:jc w:val="both"/>
        <w:rPr>
          <w:rFonts w:asciiTheme="minorHAnsi" w:hAnsiTheme="minorHAnsi"/>
        </w:rPr>
      </w:pPr>
      <w:r w:rsidRPr="001B3F14">
        <w:rPr>
          <w:rFonts w:asciiTheme="minorHAnsi" w:hAnsiTheme="minorHAnsi" w:cs="Arial"/>
          <w:color w:val="000000" w:themeColor="text1"/>
        </w:rPr>
        <w:t>On paper, Google was punished</w:t>
      </w:r>
      <w:r w:rsidR="001E651E" w:rsidRPr="001B3F14">
        <w:rPr>
          <w:rFonts w:asciiTheme="minorHAnsi" w:hAnsiTheme="minorHAnsi" w:cs="Arial"/>
          <w:color w:val="000000" w:themeColor="text1"/>
        </w:rPr>
        <w:t xml:space="preserve"> for self-preferencing in the Google Shopping case</w:t>
      </w:r>
      <w:r w:rsidRPr="001B3F14">
        <w:rPr>
          <w:rFonts w:asciiTheme="minorHAnsi" w:hAnsiTheme="minorHAnsi" w:cs="Arial"/>
          <w:color w:val="000000" w:themeColor="text1"/>
        </w:rPr>
        <w:t xml:space="preserve"> and ordered </w:t>
      </w:r>
      <w:r w:rsidR="000720B6" w:rsidRPr="001B3F14">
        <w:rPr>
          <w:rFonts w:asciiTheme="minorHAnsi" w:hAnsiTheme="minorHAnsi" w:cs="Arial"/>
          <w:color w:val="000000" w:themeColor="text1"/>
        </w:rPr>
        <w:t>by the European Commission</w:t>
      </w:r>
      <w:r w:rsidR="00613AD7" w:rsidRPr="001B3F14">
        <w:rPr>
          <w:rFonts w:asciiTheme="minorHAnsi" w:hAnsiTheme="minorHAnsi" w:cs="Arial"/>
          <w:color w:val="000000" w:themeColor="text1"/>
        </w:rPr>
        <w:t xml:space="preserve"> </w:t>
      </w:r>
      <w:r w:rsidRPr="001B3F14">
        <w:rPr>
          <w:rFonts w:asciiTheme="minorHAnsi" w:hAnsiTheme="minorHAnsi" w:cs="Arial"/>
          <w:color w:val="000000" w:themeColor="text1"/>
        </w:rPr>
        <w:t>to stop its abusive behaviour</w:t>
      </w:r>
      <w:r w:rsidR="00B83A02" w:rsidRPr="001B3F14">
        <w:rPr>
          <w:rFonts w:asciiTheme="minorHAnsi" w:hAnsiTheme="minorHAnsi" w:cs="Arial"/>
          <w:color w:val="000000" w:themeColor="text1"/>
        </w:rPr>
        <w:t xml:space="preserve">. </w:t>
      </w:r>
      <w:r w:rsidR="00613AD7" w:rsidRPr="001B3F14">
        <w:rPr>
          <w:rFonts w:asciiTheme="minorHAnsi" w:hAnsiTheme="minorHAnsi" w:cs="Arial"/>
          <w:color w:val="000000" w:themeColor="text1"/>
        </w:rPr>
        <w:t>The General Court largely</w:t>
      </w:r>
      <w:r w:rsidR="00E23636" w:rsidRPr="001B3F14">
        <w:rPr>
          <w:rStyle w:val="FootnoteReference"/>
          <w:rFonts w:asciiTheme="minorHAnsi" w:hAnsiTheme="minorHAnsi" w:cs="Arial"/>
          <w:color w:val="000000" w:themeColor="text1"/>
        </w:rPr>
        <w:footnoteReference w:id="1"/>
      </w:r>
      <w:r w:rsidR="00613AD7" w:rsidRPr="001B3F14">
        <w:rPr>
          <w:rFonts w:asciiTheme="minorHAnsi" w:hAnsiTheme="minorHAnsi" w:cs="Arial"/>
          <w:color w:val="000000" w:themeColor="text1"/>
        </w:rPr>
        <w:t xml:space="preserve"> dismissed Google’s appeal against the Commission’s decision</w:t>
      </w:r>
      <w:r w:rsidR="00544932" w:rsidRPr="001B3F14">
        <w:rPr>
          <w:rFonts w:asciiTheme="minorHAnsi" w:hAnsiTheme="minorHAnsi" w:cs="Arial"/>
          <w:color w:val="000000" w:themeColor="text1"/>
        </w:rPr>
        <w:t xml:space="preserve"> and confirmed the penalty, with the judgement </w:t>
      </w:r>
      <w:r w:rsidR="00544932" w:rsidRPr="001B3F14">
        <w:rPr>
          <w:rFonts w:asciiTheme="minorHAnsi" w:hAnsiTheme="minorHAnsi" w:cs="ArialMT"/>
        </w:rPr>
        <w:t>stating that it “takes into consideration the fact that the conduct in question was adopted intentionally, not negligently</w:t>
      </w:r>
      <w:r w:rsidR="00B83A02" w:rsidRPr="001B3F14">
        <w:rPr>
          <w:rFonts w:asciiTheme="minorHAnsi" w:hAnsiTheme="minorHAnsi" w:cs="ArialMT"/>
        </w:rPr>
        <w:t>.”</w:t>
      </w:r>
      <w:r w:rsidR="00544932" w:rsidRPr="001B3F14">
        <w:rPr>
          <w:rFonts w:asciiTheme="minorHAnsi" w:hAnsiTheme="minorHAnsi" w:cs="ArialMT"/>
        </w:rPr>
        <w:t xml:space="preserve">  However, </w:t>
      </w:r>
      <w:r w:rsidR="00544932" w:rsidRPr="001B3F14">
        <w:rPr>
          <w:rFonts w:asciiTheme="minorHAnsi" w:hAnsiTheme="minorHAnsi" w:cs="Arial"/>
          <w:color w:val="000000" w:themeColor="text1"/>
        </w:rPr>
        <w:t>i</w:t>
      </w:r>
      <w:r w:rsidR="00E23636" w:rsidRPr="001B3F14">
        <w:rPr>
          <w:rFonts w:asciiTheme="minorHAnsi" w:hAnsiTheme="minorHAnsi" w:cs="Arial"/>
          <w:color w:val="000000" w:themeColor="text1"/>
        </w:rPr>
        <w:t>n reality, Google</w:t>
      </w:r>
      <w:r w:rsidRPr="001B3F14">
        <w:rPr>
          <w:rFonts w:asciiTheme="minorHAnsi" w:hAnsiTheme="minorHAnsi" w:cs="Arial"/>
          <w:color w:val="000000" w:themeColor="text1"/>
        </w:rPr>
        <w:t xml:space="preserve"> pro</w:t>
      </w:r>
      <w:r w:rsidR="00680753">
        <w:rPr>
          <w:rFonts w:asciiTheme="minorHAnsi" w:hAnsiTheme="minorHAnsi" w:cs="Arial"/>
          <w:color w:val="000000" w:themeColor="text1"/>
        </w:rPr>
        <w:t xml:space="preserve">posed a remedy </w:t>
      </w:r>
      <w:r w:rsidR="00544932" w:rsidRPr="001B3F14">
        <w:rPr>
          <w:rFonts w:asciiTheme="minorHAnsi" w:hAnsiTheme="minorHAnsi" w:cs="Arial"/>
          <w:color w:val="000000" w:themeColor="text1"/>
        </w:rPr>
        <w:t>that has given</w:t>
      </w:r>
      <w:r w:rsidRPr="001B3F14">
        <w:rPr>
          <w:rFonts w:asciiTheme="minorHAnsi" w:hAnsiTheme="minorHAnsi" w:cs="Arial"/>
          <w:color w:val="000000" w:themeColor="text1"/>
        </w:rPr>
        <w:t xml:space="preserve"> </w:t>
      </w:r>
      <w:r w:rsidR="00FD4E64">
        <w:rPr>
          <w:rFonts w:asciiTheme="minorHAnsi" w:hAnsiTheme="minorHAnsi" w:cs="Arial"/>
          <w:color w:val="000000" w:themeColor="text1"/>
        </w:rPr>
        <w:t>it</w:t>
      </w:r>
      <w:r w:rsidRPr="001B3F14">
        <w:rPr>
          <w:rFonts w:asciiTheme="minorHAnsi" w:hAnsiTheme="minorHAnsi" w:cs="Arial"/>
          <w:color w:val="000000" w:themeColor="text1"/>
        </w:rPr>
        <w:t xml:space="preserve"> an even greater hold on the market</w:t>
      </w:r>
      <w:r w:rsidR="00F51FC4">
        <w:rPr>
          <w:rFonts w:asciiTheme="minorHAnsi" w:hAnsiTheme="minorHAnsi" w:cs="Arial"/>
          <w:color w:val="000000" w:themeColor="text1"/>
        </w:rPr>
        <w:t xml:space="preserve"> - </w:t>
      </w:r>
      <w:r w:rsidR="005010BF">
        <w:rPr>
          <w:rFonts w:asciiTheme="minorHAnsi" w:hAnsiTheme="minorHAnsi" w:cs="Arial"/>
          <w:color w:val="000000" w:themeColor="text1"/>
        </w:rPr>
        <w:t>and</w:t>
      </w:r>
      <w:r w:rsidR="004040CA">
        <w:rPr>
          <w:rFonts w:asciiTheme="minorHAnsi" w:hAnsiTheme="minorHAnsi" w:cs="Arial"/>
          <w:color w:val="000000" w:themeColor="text1"/>
        </w:rPr>
        <w:t xml:space="preserve"> </w:t>
      </w:r>
      <w:r w:rsidR="00544932" w:rsidRPr="001B3F14">
        <w:rPr>
          <w:rFonts w:asciiTheme="minorHAnsi" w:hAnsiTheme="minorHAnsi" w:cs="Arial"/>
          <w:color w:val="000000" w:themeColor="text1"/>
        </w:rPr>
        <w:t>the abusive behaviour continues.</w:t>
      </w:r>
    </w:p>
    <w:p w14:paraId="0ACCFB8E" w14:textId="05F38A04" w:rsidR="00120EDE" w:rsidRPr="001B3F14" w:rsidRDefault="00876816" w:rsidP="00EE7DFF">
      <w:pPr>
        <w:jc w:val="both"/>
        <w:rPr>
          <w:rFonts w:cs="Arial"/>
          <w:color w:val="000000" w:themeColor="text1"/>
        </w:rPr>
      </w:pPr>
      <w:r w:rsidRPr="001B3F14">
        <w:rPr>
          <w:rFonts w:cs="Arial"/>
          <w:color w:val="000000" w:themeColor="text1"/>
        </w:rPr>
        <w:t>On paper, the DMA demands an end to self-preferencing by gatekeeper</w:t>
      </w:r>
      <w:r w:rsidR="00EB5CEC" w:rsidRPr="001B3F14">
        <w:rPr>
          <w:rFonts w:cs="Arial"/>
          <w:color w:val="000000" w:themeColor="text1"/>
        </w:rPr>
        <w:t>s</w:t>
      </w:r>
      <w:r w:rsidR="00B83A02" w:rsidRPr="001B3F14">
        <w:rPr>
          <w:rFonts w:cs="Arial"/>
          <w:color w:val="000000" w:themeColor="text1"/>
        </w:rPr>
        <w:t xml:space="preserve">. </w:t>
      </w:r>
      <w:r w:rsidR="00EB5CEC" w:rsidRPr="001B3F14">
        <w:rPr>
          <w:rFonts w:cs="Arial"/>
          <w:color w:val="000000" w:themeColor="text1"/>
        </w:rPr>
        <w:t>In reality</w:t>
      </w:r>
      <w:r w:rsidR="00B83A02" w:rsidRPr="001B3F14">
        <w:rPr>
          <w:rFonts w:cs="Arial"/>
          <w:color w:val="000000" w:themeColor="text1"/>
        </w:rPr>
        <w:t xml:space="preserve">? </w:t>
      </w:r>
      <w:r w:rsidR="00EB5CEC" w:rsidRPr="001B3F14">
        <w:rPr>
          <w:rFonts w:cs="Arial"/>
          <w:color w:val="000000" w:themeColor="text1"/>
        </w:rPr>
        <w:t>We’ll see.</w:t>
      </w:r>
    </w:p>
    <w:p w14:paraId="481EF08A" w14:textId="77777777" w:rsidR="004C1D22" w:rsidRPr="001B3F14" w:rsidRDefault="004C1D22" w:rsidP="00EE7DFF">
      <w:pPr>
        <w:jc w:val="both"/>
        <w:rPr>
          <w:rFonts w:cs="Arial"/>
          <w:color w:val="000000" w:themeColor="text1"/>
        </w:rPr>
      </w:pPr>
    </w:p>
    <w:p w14:paraId="3D98B933" w14:textId="1BB5EB71" w:rsidR="00F67676" w:rsidRPr="001B3F14" w:rsidRDefault="00876816" w:rsidP="00EE7DFF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1B3F14">
        <w:rPr>
          <w:color w:val="000000" w:themeColor="text1"/>
        </w:rPr>
        <w:t xml:space="preserve">We definitely have skin in the </w:t>
      </w:r>
      <w:r w:rsidR="005E0037" w:rsidRPr="001B3F14">
        <w:rPr>
          <w:color w:val="000000" w:themeColor="text1"/>
        </w:rPr>
        <w:t>game,</w:t>
      </w:r>
      <w:r w:rsidR="00B61DC6" w:rsidRPr="001B3F14">
        <w:rPr>
          <w:color w:val="000000" w:themeColor="text1"/>
        </w:rPr>
        <w:t xml:space="preserve"> but this isn’t just about us</w:t>
      </w:r>
      <w:r w:rsidR="00F67676" w:rsidRPr="001B3F14">
        <w:rPr>
          <w:color w:val="000000" w:themeColor="text1"/>
        </w:rPr>
        <w:t>; holidays/flights, jobs, local</w:t>
      </w:r>
      <w:r w:rsidR="009128AD">
        <w:rPr>
          <w:color w:val="000000" w:themeColor="text1"/>
        </w:rPr>
        <w:t xml:space="preserve"> - </w:t>
      </w:r>
      <w:r w:rsidR="00F67676" w:rsidRPr="001B3F14">
        <w:rPr>
          <w:color w:val="000000" w:themeColor="text1"/>
        </w:rPr>
        <w:t>just some of the other sectors crippled by Google’s self-preferencing</w:t>
      </w:r>
      <w:r w:rsidR="00772E1B">
        <w:rPr>
          <w:color w:val="000000" w:themeColor="text1"/>
        </w:rPr>
        <w:t xml:space="preserve"> and abuse of its market dominance in </w:t>
      </w:r>
      <w:r w:rsidR="008C2F42">
        <w:rPr>
          <w:color w:val="000000" w:themeColor="text1"/>
        </w:rPr>
        <w:t>S</w:t>
      </w:r>
      <w:r w:rsidR="00772E1B">
        <w:rPr>
          <w:color w:val="000000" w:themeColor="text1"/>
        </w:rPr>
        <w:t>earch</w:t>
      </w:r>
      <w:r w:rsidR="00B83A02" w:rsidRPr="001B3F14">
        <w:rPr>
          <w:color w:val="000000" w:themeColor="text1"/>
        </w:rPr>
        <w:t xml:space="preserve">. </w:t>
      </w:r>
    </w:p>
    <w:p w14:paraId="65FEBB31" w14:textId="77777777" w:rsidR="004C1D22" w:rsidRPr="001B3F14" w:rsidRDefault="004C1D22" w:rsidP="00EE7DFF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2A90581" w14:textId="06FFD039" w:rsidR="00F67676" w:rsidRPr="001B3F14" w:rsidRDefault="00F67676" w:rsidP="00BF11BE">
      <w:pPr>
        <w:jc w:val="both"/>
        <w:outlineLvl w:val="0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1B3F14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 xml:space="preserve">Proposed </w:t>
      </w:r>
      <w:r w:rsidR="005E0037" w:rsidRPr="001B3F14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>remedy</w:t>
      </w:r>
    </w:p>
    <w:p w14:paraId="6DC5575B" w14:textId="43854821" w:rsidR="003D6511" w:rsidRDefault="00E33BF2" w:rsidP="00EE7DFF">
      <w:pPr>
        <w:jc w:val="both"/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To date</w:t>
      </w:r>
      <w:r w:rsidR="001D049B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, </w:t>
      </w:r>
      <w:r w:rsidR="00B61DC6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Europe’s competition </w:t>
      </w:r>
      <w:r w:rsidR="001D049B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authorities</w:t>
      </w:r>
      <w:r w:rsidR="000C6167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have</w:t>
      </w:r>
      <w:r w:rsidR="00601B6A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C6167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failed to </w:t>
      </w:r>
      <w:r w:rsidR="009E3C52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achieve a level playing field</w:t>
      </w:r>
      <w:r w:rsidR="00601B6A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.</w:t>
      </w:r>
      <w:r w:rsidR="00A00988" w:rsidRPr="001B3F1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The DMA could </w:t>
      </w:r>
      <w:r w:rsidR="00A00988" w:rsidRPr="001B3F14">
        <w:t>change this</w:t>
      </w:r>
      <w:r w:rsidR="003A3748">
        <w:t xml:space="preserve">. </w:t>
      </w:r>
      <w:r w:rsidR="00663271" w:rsidRPr="001B3F14">
        <w:t xml:space="preserve">Google’s search engine results page in respect of shopping-related queries </w:t>
      </w:r>
      <w:r w:rsidR="003A3748">
        <w:t>must be</w:t>
      </w:r>
      <w:r w:rsidR="00663271" w:rsidRPr="001B3F14">
        <w:t xml:space="preserve"> compliant with the DMA’s principles of </w:t>
      </w:r>
      <w:r w:rsidR="00B83A02" w:rsidRPr="001B3F14">
        <w:t>fair,</w:t>
      </w:r>
      <w:r w:rsidR="00663271" w:rsidRPr="001B3F14">
        <w:t xml:space="preserve"> </w:t>
      </w:r>
      <w:r w:rsidR="0005584D">
        <w:t>reasonable,</w:t>
      </w:r>
      <w:r w:rsidR="00217C0E">
        <w:t xml:space="preserve"> </w:t>
      </w:r>
      <w:r w:rsidR="00663271" w:rsidRPr="001B3F14">
        <w:t>and non-discriminatory</w:t>
      </w:r>
      <w:r w:rsidR="005447A9">
        <w:t xml:space="preserve"> (FRAND)</w:t>
      </w:r>
      <w:r w:rsidR="00663271" w:rsidRPr="001B3F14">
        <w:t xml:space="preserve"> c</w:t>
      </w:r>
      <w:r w:rsidR="00561533" w:rsidRPr="001B3F14">
        <w:t>onditions of display</w:t>
      </w:r>
      <w:r w:rsidR="00663271" w:rsidRPr="001B3F14">
        <w:t xml:space="preserve"> and ensure</w:t>
      </w:r>
      <w:r w:rsidR="006C7A71" w:rsidRPr="001B3F14">
        <w:t>s</w:t>
      </w:r>
      <w:r w:rsidR="00663271" w:rsidRPr="001B3F14">
        <w:t xml:space="preserve"> FRAND </w:t>
      </w:r>
      <w:r w:rsidR="00561533" w:rsidRPr="001B3F14">
        <w:t>access to online search engines</w:t>
      </w:r>
      <w:r w:rsidR="00B83A02" w:rsidRPr="001B3F14">
        <w:t xml:space="preserve">. </w:t>
      </w:r>
      <w:r w:rsidR="00F67676" w:rsidRPr="001B3F14">
        <w:t>We need</w:t>
      </w:r>
      <w:r w:rsidR="00561533" w:rsidRPr="001B3F14">
        <w:t xml:space="preserve"> radical, workable changes to the </w:t>
      </w:r>
      <w:r w:rsidR="007D54AA">
        <w:t>entire</w:t>
      </w:r>
      <w:r w:rsidR="00561533" w:rsidRPr="001B3F14">
        <w:t xml:space="preserve"> online shopping comparison display </w:t>
      </w:r>
      <w:r w:rsidR="006C7A71" w:rsidRPr="001B3F14">
        <w:t xml:space="preserve">and auction </w:t>
      </w:r>
      <w:r w:rsidR="00561533" w:rsidRPr="001B3F14">
        <w:lastRenderedPageBreak/>
        <w:t>process</w:t>
      </w:r>
      <w:r w:rsidR="0067370B">
        <w:t xml:space="preserve"> - </w:t>
      </w:r>
      <w:r w:rsidR="00561533" w:rsidRPr="001B3F14">
        <w:t>and these cannot come from Google</w:t>
      </w:r>
      <w:r w:rsidR="00F67676" w:rsidRPr="001B3F14">
        <w:t>,</w:t>
      </w:r>
      <w:r w:rsidR="00561533" w:rsidRPr="001B3F14">
        <w:t xml:space="preserve"> as </w:t>
      </w:r>
      <w:r w:rsidR="000237F7" w:rsidRPr="001B3F14">
        <w:t xml:space="preserve">we know from experience that </w:t>
      </w:r>
      <w:r w:rsidR="004040CA">
        <w:t>it</w:t>
      </w:r>
      <w:r w:rsidR="00DB77E0">
        <w:t xml:space="preserve"> </w:t>
      </w:r>
      <w:r w:rsidR="00561533" w:rsidRPr="001B3F14">
        <w:t xml:space="preserve">can’t be trusted </w:t>
      </w:r>
      <w:r w:rsidR="00EA0328" w:rsidRPr="001B3F14">
        <w:t xml:space="preserve">to mark </w:t>
      </w:r>
      <w:r w:rsidR="004040CA">
        <w:t xml:space="preserve">its </w:t>
      </w:r>
      <w:r w:rsidR="00561533" w:rsidRPr="001B3F14">
        <w:t>own homework.</w:t>
      </w:r>
      <w:r w:rsidR="003A3748">
        <w:t xml:space="preserve"> </w:t>
      </w:r>
    </w:p>
    <w:p w14:paraId="3102EF05" w14:textId="77777777" w:rsidR="003D6511" w:rsidRDefault="003D6511" w:rsidP="00EE7DFF">
      <w:pPr>
        <w:jc w:val="both"/>
      </w:pPr>
    </w:p>
    <w:p w14:paraId="5EA5EDC0" w14:textId="71B6ECDA" w:rsidR="00663271" w:rsidRPr="001B3F14" w:rsidRDefault="003D6511" w:rsidP="00EE7DFF">
      <w:pPr>
        <w:jc w:val="both"/>
      </w:pPr>
      <w:r>
        <w:t xml:space="preserve">There is an immediate solution in the form of </w:t>
      </w:r>
      <w:r w:rsidR="003A3748">
        <w:t>Comparison Listing Ads</w:t>
      </w:r>
      <w:r>
        <w:t xml:space="preserve"> (CLAs).</w:t>
      </w:r>
      <w:r w:rsidR="003A3748">
        <w:t xml:space="preserve"> </w:t>
      </w:r>
      <w:r w:rsidR="00CD69CD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They already exist however, they are hidden behind the Product Listings Ad (PLA) carousel by Google</w:t>
      </w:r>
      <w:r w:rsidR="00AB152C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- </w:t>
      </w:r>
      <w:r w:rsidR="00CD69CD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which means they are less visible, less attractive, and less functional. If CLA </w:t>
      </w:r>
      <w:r w:rsidR="005E0037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became</w:t>
      </w:r>
      <w:r w:rsidR="00CD69CD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the default, then consumers would have access to more products and be able to make </w:t>
      </w:r>
      <w:r w:rsidR="00545DE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great </w:t>
      </w:r>
      <w:r w:rsidR="00CD69CD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shopping choices</w:t>
      </w:r>
      <w:r w:rsidR="00545DE4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once again.</w:t>
      </w:r>
    </w:p>
    <w:p w14:paraId="6AA1A544" w14:textId="77777777" w:rsidR="00EB5CEC" w:rsidRPr="001B3F14" w:rsidRDefault="00EB5CEC" w:rsidP="00EE7DFF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255809A4" w14:textId="4F7F9BF6" w:rsidR="00E14EAE" w:rsidRDefault="000B7F4C" w:rsidP="00EE7DF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application of the obligations imposed on Big Tech companies that are designated as gatekeepers will come into force in March 2024</w:t>
      </w:r>
      <w:r w:rsidR="00B83A02">
        <w:rPr>
          <w:rFonts w:cs="Arial"/>
          <w:color w:val="000000" w:themeColor="text1"/>
        </w:rPr>
        <w:t xml:space="preserve">. </w:t>
      </w:r>
      <w:r w:rsidR="00EB5CEC" w:rsidRPr="001B3F14">
        <w:rPr>
          <w:rFonts w:cs="Arial"/>
          <w:color w:val="000000" w:themeColor="text1"/>
        </w:rPr>
        <w:t xml:space="preserve">We could be embracing a </w:t>
      </w:r>
      <w:r w:rsidR="00C407C5" w:rsidRPr="001B3F14">
        <w:rPr>
          <w:rFonts w:cs="Arial"/>
          <w:color w:val="000000" w:themeColor="text1"/>
        </w:rPr>
        <w:t>brave new,</w:t>
      </w:r>
      <w:r w:rsidR="00503FAE">
        <w:rPr>
          <w:rFonts w:cs="Arial"/>
          <w:color w:val="000000" w:themeColor="text1"/>
        </w:rPr>
        <w:t xml:space="preserve"> more </w:t>
      </w:r>
      <w:r w:rsidR="00B83A02">
        <w:rPr>
          <w:rFonts w:cs="Arial"/>
          <w:color w:val="000000" w:themeColor="text1"/>
        </w:rPr>
        <w:t>competitive,</w:t>
      </w:r>
      <w:r w:rsidR="00C407C5" w:rsidRPr="001B3F14">
        <w:rPr>
          <w:rFonts w:cs="Arial"/>
          <w:color w:val="000000" w:themeColor="text1"/>
        </w:rPr>
        <w:t xml:space="preserve"> </w:t>
      </w:r>
      <w:r w:rsidR="002123E7">
        <w:rPr>
          <w:rFonts w:cs="Arial"/>
          <w:color w:val="000000" w:themeColor="text1"/>
        </w:rPr>
        <w:t xml:space="preserve">and </w:t>
      </w:r>
      <w:r w:rsidR="006001C8" w:rsidRPr="002123E7">
        <w:rPr>
          <w:rFonts w:cs="Arial"/>
          <w:color w:val="000000" w:themeColor="text1"/>
        </w:rPr>
        <w:t xml:space="preserve">fairer </w:t>
      </w:r>
      <w:r w:rsidR="00C407C5" w:rsidRPr="002123E7">
        <w:rPr>
          <w:rFonts w:cs="Arial"/>
          <w:color w:val="000000" w:themeColor="text1"/>
        </w:rPr>
        <w:t>world,</w:t>
      </w:r>
      <w:r w:rsidR="00C407C5" w:rsidRPr="001B3F14">
        <w:rPr>
          <w:rFonts w:cs="Arial"/>
          <w:color w:val="000000" w:themeColor="text1"/>
        </w:rPr>
        <w:t xml:space="preserve"> or we could be stuck on the merry-go-round</w:t>
      </w:r>
      <w:r w:rsidR="00B83A02" w:rsidRPr="001B3F14">
        <w:rPr>
          <w:rFonts w:cs="Arial"/>
          <w:color w:val="000000" w:themeColor="text1"/>
        </w:rPr>
        <w:t xml:space="preserve">. </w:t>
      </w:r>
      <w:r w:rsidR="005E0037">
        <w:rPr>
          <w:rFonts w:cs="Arial"/>
          <w:color w:val="000000" w:themeColor="text1"/>
        </w:rPr>
        <w:t>So,</w:t>
      </w:r>
      <w:r w:rsidR="00E14EAE">
        <w:rPr>
          <w:rFonts w:cs="Arial"/>
          <w:color w:val="000000" w:themeColor="text1"/>
        </w:rPr>
        <w:t xml:space="preserve"> what </w:t>
      </w:r>
      <w:r w:rsidR="00072328">
        <w:rPr>
          <w:rFonts w:cs="Arial"/>
          <w:color w:val="000000" w:themeColor="text1"/>
        </w:rPr>
        <w:t>can we all do?</w:t>
      </w:r>
    </w:p>
    <w:p w14:paraId="0CE9CD15" w14:textId="77777777" w:rsidR="00E14EAE" w:rsidRDefault="00E14EAE" w:rsidP="00EE7DFF">
      <w:pPr>
        <w:jc w:val="both"/>
        <w:rPr>
          <w:rFonts w:cs="Arial"/>
          <w:color w:val="000000" w:themeColor="text1"/>
        </w:rPr>
      </w:pPr>
    </w:p>
    <w:p w14:paraId="17F1ED97" w14:textId="6A15D9BB" w:rsidR="00120EDE" w:rsidRPr="001B3F14" w:rsidRDefault="005F3C02" w:rsidP="00EE7DFF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We call for </w:t>
      </w:r>
      <w:r w:rsidR="006F4334">
        <w:rPr>
          <w:rFonts w:cs="Arial"/>
          <w:color w:val="000000" w:themeColor="text1"/>
        </w:rPr>
        <w:t>action</w:t>
      </w:r>
      <w:r>
        <w:rPr>
          <w:rFonts w:cs="Arial"/>
          <w:color w:val="000000" w:themeColor="text1"/>
        </w:rPr>
        <w:t xml:space="preserve"> f</w:t>
      </w:r>
      <w:r w:rsidR="00C407C5" w:rsidRPr="001B3F14">
        <w:rPr>
          <w:rFonts w:cs="Arial"/>
          <w:color w:val="000000" w:themeColor="text1"/>
        </w:rPr>
        <w:t xml:space="preserve">or the sake of companies like ours, for </w:t>
      </w:r>
      <w:r w:rsidR="008A2633" w:rsidRPr="001B3F14">
        <w:rPr>
          <w:rFonts w:cs="Arial"/>
          <w:color w:val="000000" w:themeColor="text1"/>
        </w:rPr>
        <w:t xml:space="preserve">SMEs </w:t>
      </w:r>
      <w:r w:rsidR="00C407C5" w:rsidRPr="001B3F14">
        <w:rPr>
          <w:rFonts w:cs="Arial"/>
          <w:color w:val="000000" w:themeColor="text1"/>
        </w:rPr>
        <w:t>everywhere trying to compete on a level playing field and for consumers</w:t>
      </w:r>
      <w:r w:rsidR="00B2182A" w:rsidRPr="001B3F14">
        <w:rPr>
          <w:rFonts w:cs="Arial"/>
          <w:color w:val="000000" w:themeColor="text1"/>
        </w:rPr>
        <w:t>,</w:t>
      </w:r>
      <w:r w:rsidR="00C407C5" w:rsidRPr="001B3F14">
        <w:rPr>
          <w:rFonts w:cs="Arial"/>
          <w:color w:val="000000" w:themeColor="text1"/>
        </w:rPr>
        <w:t xml:space="preserve"> who deserve a transparent and </w:t>
      </w:r>
      <w:r w:rsidR="00B2182A" w:rsidRPr="001B3F14">
        <w:rPr>
          <w:rFonts w:cs="Arial"/>
          <w:color w:val="000000" w:themeColor="text1"/>
        </w:rPr>
        <w:t>positive experience when searching online for goods and services</w:t>
      </w:r>
      <w:r w:rsidR="00B83A02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W</w:t>
      </w:r>
      <w:r w:rsidR="00B2182A" w:rsidRPr="001B3F14">
        <w:rPr>
          <w:rFonts w:cs="Arial"/>
          <w:color w:val="000000" w:themeColor="text1"/>
        </w:rPr>
        <w:t xml:space="preserve">e call on everyone working on compliance of the DMA to </w:t>
      </w:r>
      <w:r w:rsidR="008A2633" w:rsidRPr="001B3F14">
        <w:rPr>
          <w:rFonts w:cs="Arial"/>
          <w:color w:val="000000" w:themeColor="text1"/>
        </w:rPr>
        <w:t>dot the i</w:t>
      </w:r>
      <w:r w:rsidR="0032782D" w:rsidRPr="001B3F14">
        <w:rPr>
          <w:rFonts w:cs="Arial"/>
          <w:color w:val="000000" w:themeColor="text1"/>
        </w:rPr>
        <w:t>’s and cross the t’s</w:t>
      </w:r>
      <w:r w:rsidR="007A1E5A">
        <w:rPr>
          <w:rFonts w:cs="Arial"/>
          <w:color w:val="000000" w:themeColor="text1"/>
        </w:rPr>
        <w:t xml:space="preserve"> - </w:t>
      </w:r>
      <w:r w:rsidR="0032782D" w:rsidRPr="001B3F14">
        <w:rPr>
          <w:rFonts w:cs="Arial"/>
          <w:color w:val="000000" w:themeColor="text1"/>
        </w:rPr>
        <w:t xml:space="preserve">to </w:t>
      </w:r>
      <w:r w:rsidR="000720B6" w:rsidRPr="001B3F14">
        <w:rPr>
          <w:rFonts w:cs="Arial"/>
          <w:color w:val="000000" w:themeColor="text1"/>
        </w:rPr>
        <w:t>guarantee real change</w:t>
      </w:r>
      <w:r w:rsidR="00072328">
        <w:rPr>
          <w:rFonts w:cs="Arial"/>
          <w:color w:val="000000" w:themeColor="text1"/>
        </w:rPr>
        <w:t xml:space="preserve"> that would transform </w:t>
      </w:r>
      <w:r w:rsidR="003B5950">
        <w:rPr>
          <w:rFonts w:cs="Arial"/>
          <w:color w:val="000000" w:themeColor="text1"/>
        </w:rPr>
        <w:t>the global digital marketplace</w:t>
      </w:r>
      <w:r w:rsidR="00B83A02" w:rsidRPr="001B3F14">
        <w:rPr>
          <w:rFonts w:cs="Arial"/>
          <w:color w:val="000000" w:themeColor="text1"/>
        </w:rPr>
        <w:t xml:space="preserve">. </w:t>
      </w:r>
      <w:r w:rsidR="007A1E5A">
        <w:rPr>
          <w:rFonts w:cs="Arial"/>
          <w:color w:val="000000" w:themeColor="text1"/>
        </w:rPr>
        <w:t xml:space="preserve">This </w:t>
      </w:r>
      <w:r w:rsidR="009A0384" w:rsidRPr="001B3F14">
        <w:rPr>
          <w:rFonts w:cs="Arial"/>
          <w:color w:val="000000" w:themeColor="text1"/>
        </w:rPr>
        <w:t>would be a</w:t>
      </w:r>
      <w:r w:rsidR="006D28BB" w:rsidRPr="001B3F14">
        <w:rPr>
          <w:rFonts w:cs="Arial"/>
          <w:color w:val="000000" w:themeColor="text1"/>
        </w:rPr>
        <w:t>n</w:t>
      </w:r>
      <w:r w:rsidR="004C1D22" w:rsidRPr="001B3F14">
        <w:rPr>
          <w:rFonts w:cs="Arial"/>
          <w:color w:val="000000" w:themeColor="text1"/>
        </w:rPr>
        <w:t xml:space="preserve"> incredible legacy.</w:t>
      </w:r>
    </w:p>
    <w:p w14:paraId="37DF7168" w14:textId="77777777" w:rsidR="00BF7FCD" w:rsidRPr="001B3F14" w:rsidRDefault="00BF7FCD" w:rsidP="00EE7DFF">
      <w:pPr>
        <w:pStyle w:val="NormalWeb"/>
        <w:spacing w:before="0" w:beforeAutospacing="0"/>
        <w:jc w:val="both"/>
        <w:rPr>
          <w:rFonts w:asciiTheme="minorHAnsi" w:hAnsiTheme="minorHAnsi" w:cs="Arial"/>
          <w:color w:val="000000" w:themeColor="text1"/>
        </w:rPr>
      </w:pPr>
    </w:p>
    <w:p w14:paraId="7CB5F807" w14:textId="56889269" w:rsidR="004369F8" w:rsidRPr="001B3F14" w:rsidRDefault="004369F8" w:rsidP="006F73E0">
      <w:pPr>
        <w:pStyle w:val="NormalWeb"/>
        <w:spacing w:before="0" w:beforeAutospacing="0"/>
        <w:jc w:val="both"/>
        <w:outlineLvl w:val="0"/>
        <w:rPr>
          <w:rFonts w:asciiTheme="minorHAnsi" w:hAnsiTheme="minorHAnsi" w:cs="Arial"/>
          <w:b/>
          <w:color w:val="000000" w:themeColor="text1"/>
        </w:rPr>
      </w:pPr>
      <w:r w:rsidRPr="001B3F14">
        <w:rPr>
          <w:rFonts w:asciiTheme="minorHAnsi" w:hAnsiTheme="minorHAnsi" w:cs="Arial"/>
          <w:b/>
          <w:color w:val="000000" w:themeColor="text1"/>
        </w:rPr>
        <w:t>DMA timetable</w:t>
      </w:r>
    </w:p>
    <w:p w14:paraId="7380A84A" w14:textId="77777777" w:rsidR="0097410C" w:rsidRPr="000A5E7A" w:rsidRDefault="0097410C" w:rsidP="0097410C">
      <w:pPr>
        <w:rPr>
          <w:b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05FF3217" wp14:editId="2A315A8C">
            <wp:extent cx="5756910" cy="3003550"/>
            <wp:effectExtent l="0" t="0" r="0" b="6350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028A" w14:textId="77777777" w:rsidR="0097410C" w:rsidRDefault="0097410C" w:rsidP="0097410C">
      <w:pPr>
        <w:rPr>
          <w:b/>
          <w:color w:val="000000" w:themeColor="text1"/>
        </w:rPr>
      </w:pPr>
      <w:r>
        <w:rPr>
          <w:rStyle w:val="FootnoteReference"/>
          <w:b/>
          <w:color w:val="000000" w:themeColor="text1"/>
        </w:rPr>
        <w:footnoteReference w:id="2"/>
      </w:r>
    </w:p>
    <w:p w14:paraId="2FFDB001" w14:textId="77777777" w:rsidR="00403887" w:rsidRPr="001B3F14" w:rsidRDefault="00403887" w:rsidP="00EE7DFF">
      <w:pPr>
        <w:pStyle w:val="NormalWeb"/>
        <w:spacing w:after="0" w:afterAutospacing="0"/>
        <w:jc w:val="both"/>
        <w:rPr>
          <w:rFonts w:asciiTheme="minorHAnsi" w:hAnsiTheme="minorHAnsi" w:cs="Arial"/>
          <w:b/>
          <w:color w:val="000000" w:themeColor="text1"/>
        </w:rPr>
      </w:pPr>
    </w:p>
    <w:p w14:paraId="671A78A5" w14:textId="77777777" w:rsidR="00AD4097" w:rsidRPr="001B3F14" w:rsidRDefault="00AD4097" w:rsidP="00AD4097">
      <w:pPr>
        <w:rPr>
          <w:rFonts w:cs="Times New Roman"/>
          <w:color w:val="000000"/>
          <w:lang w:eastAsia="en-GB"/>
        </w:rPr>
      </w:pPr>
    </w:p>
    <w:p w14:paraId="74758812" w14:textId="77777777" w:rsidR="00B05468" w:rsidRPr="001B3F14" w:rsidRDefault="00B05468"/>
    <w:sectPr w:rsidR="00B05468" w:rsidRPr="001B3F14" w:rsidSect="003628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A80F" w14:textId="77777777" w:rsidR="000B2959" w:rsidRDefault="000B2959" w:rsidP="00E23636">
      <w:r>
        <w:separator/>
      </w:r>
    </w:p>
  </w:endnote>
  <w:endnote w:type="continuationSeparator" w:id="0">
    <w:p w14:paraId="155494BF" w14:textId="77777777" w:rsidR="000B2959" w:rsidRDefault="000B2959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075C" w14:textId="77777777" w:rsidR="000B2959" w:rsidRDefault="000B2959" w:rsidP="00E23636">
      <w:r>
        <w:separator/>
      </w:r>
    </w:p>
  </w:footnote>
  <w:footnote w:type="continuationSeparator" w:id="0">
    <w:p w14:paraId="0E41178A" w14:textId="77777777" w:rsidR="000B2959" w:rsidRDefault="000B2959" w:rsidP="00E23636">
      <w:r>
        <w:continuationSeparator/>
      </w:r>
    </w:p>
  </w:footnote>
  <w:footnote w:id="1">
    <w:p w14:paraId="08D821C0" w14:textId="3E369C94" w:rsidR="00E23636" w:rsidRPr="00245F36" w:rsidRDefault="00E23636" w:rsidP="00E23636">
      <w:pPr>
        <w:pStyle w:val="NormalWeb"/>
        <w:rPr>
          <w:sz w:val="20"/>
          <w:szCs w:val="20"/>
        </w:rPr>
      </w:pPr>
      <w:r w:rsidRPr="00245F36">
        <w:rPr>
          <w:rStyle w:val="FootnoteReference"/>
          <w:sz w:val="20"/>
          <w:szCs w:val="20"/>
        </w:rPr>
        <w:footnoteRef/>
      </w:r>
      <w:r w:rsidRPr="00245F36">
        <w:rPr>
          <w:sz w:val="20"/>
          <w:szCs w:val="20"/>
        </w:rPr>
        <w:t xml:space="preserve"> From the </w:t>
      </w:r>
      <w:hyperlink r:id="rId1" w:history="1">
        <w:r w:rsidRPr="00245F36">
          <w:rPr>
            <w:rStyle w:val="Hyperlink"/>
            <w:sz w:val="20"/>
            <w:szCs w:val="20"/>
          </w:rPr>
          <w:t>General Court judgement</w:t>
        </w:r>
      </w:hyperlink>
      <w:r w:rsidRPr="00245F36">
        <w:rPr>
          <w:sz w:val="20"/>
          <w:szCs w:val="20"/>
        </w:rPr>
        <w:t>: “</w:t>
      </w:r>
      <w:r w:rsidRPr="00245F36">
        <w:rPr>
          <w:rFonts w:ascii="ArialMT" w:hAnsi="ArialMT" w:cs="ArialMT"/>
          <w:sz w:val="20"/>
          <w:szCs w:val="20"/>
        </w:rPr>
        <w:t xml:space="preserve">However, the General Court considers that the Commission did not establish that Google’s conduct had had – even potential – anticompetitive effects on the </w:t>
      </w:r>
      <w:r w:rsidRPr="00245F36">
        <w:rPr>
          <w:rFonts w:ascii="Arial" w:hAnsi="Arial" w:cs="Arial"/>
          <w:b/>
          <w:bCs/>
          <w:i/>
          <w:iCs/>
          <w:sz w:val="20"/>
          <w:szCs w:val="20"/>
        </w:rPr>
        <w:t xml:space="preserve">market for general search services </w:t>
      </w:r>
      <w:r w:rsidRPr="00245F36">
        <w:rPr>
          <w:rFonts w:ascii="ArialMT" w:hAnsi="ArialMT" w:cs="ArialMT"/>
          <w:sz w:val="20"/>
          <w:szCs w:val="20"/>
        </w:rPr>
        <w:t xml:space="preserve">and therefore annuls the finding of an infringement in respect of that market alone.” </w:t>
      </w:r>
    </w:p>
    <w:p w14:paraId="6A0186B8" w14:textId="5356BFB0" w:rsidR="00E23636" w:rsidRDefault="00E23636">
      <w:pPr>
        <w:pStyle w:val="FootnoteText"/>
      </w:pPr>
    </w:p>
  </w:footnote>
  <w:footnote w:id="2">
    <w:p w14:paraId="426B7D8F" w14:textId="77777777" w:rsidR="0097410C" w:rsidRPr="00663EEA" w:rsidRDefault="0097410C" w:rsidP="0097410C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663EEA">
        <w:rPr>
          <w:lang w:val="fr-BE"/>
        </w:rPr>
        <w:t xml:space="preserve"> Source: </w:t>
      </w:r>
      <w:hyperlink r:id="rId2" w:history="1">
        <w:r w:rsidRPr="00663E8D">
          <w:rPr>
            <w:rStyle w:val="Hyperlink"/>
            <w:lang w:val="fr-BE"/>
          </w:rPr>
          <w:t>https://ec.europa.eu/commission/presscorner/detail/en/qanda_20_2349</w:t>
        </w:r>
      </w:hyperlink>
      <w:r>
        <w:rPr>
          <w:lang w:val="fr-B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68"/>
    <w:rsid w:val="000237F7"/>
    <w:rsid w:val="00050552"/>
    <w:rsid w:val="00050702"/>
    <w:rsid w:val="0005584D"/>
    <w:rsid w:val="000720B6"/>
    <w:rsid w:val="00072328"/>
    <w:rsid w:val="00076DED"/>
    <w:rsid w:val="00077C3B"/>
    <w:rsid w:val="000A16C2"/>
    <w:rsid w:val="000B2959"/>
    <w:rsid w:val="000B7F4C"/>
    <w:rsid w:val="000C0D73"/>
    <w:rsid w:val="000C6167"/>
    <w:rsid w:val="00106DA3"/>
    <w:rsid w:val="00107C89"/>
    <w:rsid w:val="001109DA"/>
    <w:rsid w:val="00120EDE"/>
    <w:rsid w:val="0013201B"/>
    <w:rsid w:val="00134821"/>
    <w:rsid w:val="00181C8F"/>
    <w:rsid w:val="001A1808"/>
    <w:rsid w:val="001B3F14"/>
    <w:rsid w:val="001C1327"/>
    <w:rsid w:val="001D049B"/>
    <w:rsid w:val="001E651E"/>
    <w:rsid w:val="0021187F"/>
    <w:rsid w:val="002123E7"/>
    <w:rsid w:val="00217C0E"/>
    <w:rsid w:val="00245F36"/>
    <w:rsid w:val="00267E89"/>
    <w:rsid w:val="00297C72"/>
    <w:rsid w:val="002F65E7"/>
    <w:rsid w:val="002F6994"/>
    <w:rsid w:val="0031477F"/>
    <w:rsid w:val="0032782D"/>
    <w:rsid w:val="00333193"/>
    <w:rsid w:val="00345FAA"/>
    <w:rsid w:val="003628C9"/>
    <w:rsid w:val="003A3748"/>
    <w:rsid w:val="003B5950"/>
    <w:rsid w:val="003D6511"/>
    <w:rsid w:val="00403887"/>
    <w:rsid w:val="004040CA"/>
    <w:rsid w:val="00415BA2"/>
    <w:rsid w:val="004326FC"/>
    <w:rsid w:val="004369F8"/>
    <w:rsid w:val="00440C08"/>
    <w:rsid w:val="00453DE0"/>
    <w:rsid w:val="00471697"/>
    <w:rsid w:val="00485397"/>
    <w:rsid w:val="004A5869"/>
    <w:rsid w:val="004C1D22"/>
    <w:rsid w:val="004E4391"/>
    <w:rsid w:val="005010BF"/>
    <w:rsid w:val="00503FAE"/>
    <w:rsid w:val="00520F81"/>
    <w:rsid w:val="00525C00"/>
    <w:rsid w:val="005306DB"/>
    <w:rsid w:val="00531022"/>
    <w:rsid w:val="005447A9"/>
    <w:rsid w:val="00544932"/>
    <w:rsid w:val="00545DE4"/>
    <w:rsid w:val="00561533"/>
    <w:rsid w:val="00562ECE"/>
    <w:rsid w:val="00594131"/>
    <w:rsid w:val="005D1B49"/>
    <w:rsid w:val="005D1FF0"/>
    <w:rsid w:val="005E0037"/>
    <w:rsid w:val="005F0018"/>
    <w:rsid w:val="005F3C02"/>
    <w:rsid w:val="006001C8"/>
    <w:rsid w:val="00601B6A"/>
    <w:rsid w:val="0060497B"/>
    <w:rsid w:val="00613AD7"/>
    <w:rsid w:val="00616B3A"/>
    <w:rsid w:val="006324C9"/>
    <w:rsid w:val="00632E59"/>
    <w:rsid w:val="00663271"/>
    <w:rsid w:val="0067370B"/>
    <w:rsid w:val="00680753"/>
    <w:rsid w:val="006A5B11"/>
    <w:rsid w:val="006B120A"/>
    <w:rsid w:val="006B3369"/>
    <w:rsid w:val="006C7A71"/>
    <w:rsid w:val="006D1BD8"/>
    <w:rsid w:val="006D28BB"/>
    <w:rsid w:val="006F4334"/>
    <w:rsid w:val="006F73E0"/>
    <w:rsid w:val="0070229A"/>
    <w:rsid w:val="00712735"/>
    <w:rsid w:val="00762228"/>
    <w:rsid w:val="00772E1B"/>
    <w:rsid w:val="00787E58"/>
    <w:rsid w:val="007A1E5A"/>
    <w:rsid w:val="007B1869"/>
    <w:rsid w:val="007D54AA"/>
    <w:rsid w:val="007F2FF4"/>
    <w:rsid w:val="00876816"/>
    <w:rsid w:val="00887E87"/>
    <w:rsid w:val="008A2633"/>
    <w:rsid w:val="008C2F42"/>
    <w:rsid w:val="00901D83"/>
    <w:rsid w:val="00902585"/>
    <w:rsid w:val="009128AD"/>
    <w:rsid w:val="00943F2D"/>
    <w:rsid w:val="009451DA"/>
    <w:rsid w:val="009468D3"/>
    <w:rsid w:val="0094771C"/>
    <w:rsid w:val="0097410C"/>
    <w:rsid w:val="00980502"/>
    <w:rsid w:val="00983BA1"/>
    <w:rsid w:val="009A0384"/>
    <w:rsid w:val="009A2882"/>
    <w:rsid w:val="009B1460"/>
    <w:rsid w:val="009B176E"/>
    <w:rsid w:val="009B332D"/>
    <w:rsid w:val="009E3C52"/>
    <w:rsid w:val="009F5B1C"/>
    <w:rsid w:val="00A00988"/>
    <w:rsid w:val="00A14D42"/>
    <w:rsid w:val="00A52348"/>
    <w:rsid w:val="00A708AA"/>
    <w:rsid w:val="00A86F39"/>
    <w:rsid w:val="00AB152C"/>
    <w:rsid w:val="00AD4097"/>
    <w:rsid w:val="00AE6344"/>
    <w:rsid w:val="00AF0B89"/>
    <w:rsid w:val="00B05468"/>
    <w:rsid w:val="00B1179E"/>
    <w:rsid w:val="00B17106"/>
    <w:rsid w:val="00B2182A"/>
    <w:rsid w:val="00B5643E"/>
    <w:rsid w:val="00B579CB"/>
    <w:rsid w:val="00B61DC6"/>
    <w:rsid w:val="00B63070"/>
    <w:rsid w:val="00B83A02"/>
    <w:rsid w:val="00B96285"/>
    <w:rsid w:val="00BF11BE"/>
    <w:rsid w:val="00BF7FCD"/>
    <w:rsid w:val="00C17B76"/>
    <w:rsid w:val="00C407C5"/>
    <w:rsid w:val="00C75F86"/>
    <w:rsid w:val="00C80B1D"/>
    <w:rsid w:val="00C9745A"/>
    <w:rsid w:val="00CA2744"/>
    <w:rsid w:val="00CC1936"/>
    <w:rsid w:val="00CD69CD"/>
    <w:rsid w:val="00CE4911"/>
    <w:rsid w:val="00CF370D"/>
    <w:rsid w:val="00D0017D"/>
    <w:rsid w:val="00D149AB"/>
    <w:rsid w:val="00D172C5"/>
    <w:rsid w:val="00D677AA"/>
    <w:rsid w:val="00DB77E0"/>
    <w:rsid w:val="00E0602A"/>
    <w:rsid w:val="00E14EAE"/>
    <w:rsid w:val="00E232E7"/>
    <w:rsid w:val="00E23636"/>
    <w:rsid w:val="00E33BF2"/>
    <w:rsid w:val="00E3758F"/>
    <w:rsid w:val="00E5479E"/>
    <w:rsid w:val="00E55BB9"/>
    <w:rsid w:val="00E6551E"/>
    <w:rsid w:val="00EA0328"/>
    <w:rsid w:val="00EB244F"/>
    <w:rsid w:val="00EB5CEC"/>
    <w:rsid w:val="00EB5EBA"/>
    <w:rsid w:val="00EE7DFF"/>
    <w:rsid w:val="00EF1059"/>
    <w:rsid w:val="00EF1308"/>
    <w:rsid w:val="00F25E78"/>
    <w:rsid w:val="00F338B9"/>
    <w:rsid w:val="00F51FC4"/>
    <w:rsid w:val="00F57982"/>
    <w:rsid w:val="00F62A20"/>
    <w:rsid w:val="00F67676"/>
    <w:rsid w:val="00FB296B"/>
    <w:rsid w:val="00FB4A49"/>
    <w:rsid w:val="00FB4BF9"/>
    <w:rsid w:val="00FB6749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4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4097"/>
  </w:style>
  <w:style w:type="paragraph" w:styleId="NormalWeb">
    <w:name w:val="Normal (Web)"/>
    <w:basedOn w:val="Normal"/>
    <w:uiPriority w:val="99"/>
    <w:unhideWhenUsed/>
    <w:rsid w:val="00AD409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18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1869"/>
  </w:style>
  <w:style w:type="character" w:customStyle="1" w:styleId="CommentTextChar">
    <w:name w:val="Comment Text Char"/>
    <w:basedOn w:val="DefaultParagraphFont"/>
    <w:link w:val="CommentText"/>
    <w:uiPriority w:val="99"/>
    <w:rsid w:val="007B1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6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basedOn w:val="Normal"/>
    <w:uiPriority w:val="1"/>
    <w:qFormat/>
    <w:rsid w:val="0040388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038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3636"/>
  </w:style>
  <w:style w:type="character" w:customStyle="1" w:styleId="FootnoteTextChar">
    <w:name w:val="Footnote Text Char"/>
    <w:basedOn w:val="DefaultParagraphFont"/>
    <w:link w:val="FootnoteText"/>
    <w:uiPriority w:val="99"/>
    <w:rsid w:val="00E23636"/>
  </w:style>
  <w:style w:type="character" w:styleId="FootnoteReference">
    <w:name w:val="footnote reference"/>
    <w:basedOn w:val="DefaultParagraphFont"/>
    <w:uiPriority w:val="99"/>
    <w:unhideWhenUsed/>
    <w:rsid w:val="00E23636"/>
    <w:rPr>
      <w:vertAlign w:val="superscript"/>
    </w:rPr>
  </w:style>
  <w:style w:type="paragraph" w:styleId="Revision">
    <w:name w:val="Revision"/>
    <w:hidden/>
    <w:uiPriority w:val="99"/>
    <w:semiHidden/>
    <w:rsid w:val="00F338B9"/>
  </w:style>
  <w:style w:type="character" w:customStyle="1" w:styleId="UnresolvedMention1">
    <w:name w:val="Unresolved Mention1"/>
    <w:basedOn w:val="DefaultParagraphFont"/>
    <w:uiPriority w:val="99"/>
    <w:rsid w:val="005D1B4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3E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3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presscorner/detail/en/qanda_20_2349" TargetMode="External"/><Relationship Id="rId1" Type="http://schemas.openxmlformats.org/officeDocument/2006/relationships/hyperlink" Target="https://curia.europa.eu/jcms/upload/docs/application/pdf/2021-11/cp210197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Lambert</dc:creator>
  <cp:keywords/>
  <dc:description/>
  <cp:lastModifiedBy>Bev Aujla</cp:lastModifiedBy>
  <cp:revision>37</cp:revision>
  <cp:lastPrinted>2023-03-27T07:15:00Z</cp:lastPrinted>
  <dcterms:created xsi:type="dcterms:W3CDTF">2023-03-24T09:42:00Z</dcterms:created>
  <dcterms:modified xsi:type="dcterms:W3CDTF">2023-03-27T10:01:00Z</dcterms:modified>
</cp:coreProperties>
</file>